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3864"/>
        </w:rPr>
        <w:t>Karibian.ua — план наступних етапів і кошторис (Етап 0)</w:t>
      </w:r>
    </w:p>
    <w:p>
      <w:r>
        <w:t>Нумерація етапів збережена з ТЗ замовниці. Оцінки спираються на фактичний обсяг, з'ясований на Етапі 0: 60 позицій каталогу, 43 з відновленими характеристиками, 142 реальні URL для карти редиректів, 5 еталонних карток.</w:t>
      </w:r>
    </w:p>
    <w:p>
      <w:r>
        <w:t>Ціни фіксовані за етап, строки в робочих днях. Кожен етап — окремий Safe.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#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Етап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Що входить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Строк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Ціна, грн</w:t>
            </w:r>
          </w:p>
        </w:tc>
      </w:tr>
      <w:tr>
        <w:tc>
          <w:tcPr>
            <w:tcW w:type="dxa" w:w="1728"/>
          </w:tcPr>
          <w:p>
            <w:r/>
            <w:r>
              <w:t>1</w:t>
            </w:r>
          </w:p>
        </w:tc>
        <w:tc>
          <w:tcPr>
            <w:tcW w:type="dxa" w:w="1728"/>
          </w:tcPr>
          <w:p>
            <w:r/>
            <w:r>
              <w:t>Технічна база</w:t>
            </w:r>
          </w:p>
        </w:tc>
        <w:tc>
          <w:tcPr>
            <w:tcW w:type="dxa" w:w="1728"/>
          </w:tcPr>
          <w:p>
            <w:r/>
            <w:r>
              <w:t>staging, чистий WordPress, WooCommerce, WoodMart, child theme, бекапи, базові плагіни</w:t>
            </w:r>
          </w:p>
        </w:tc>
        <w:tc>
          <w:tcPr>
            <w:tcW w:type="dxa" w:w="1728"/>
          </w:tcPr>
          <w:p>
            <w:r/>
            <w:r>
              <w:t>3</w:t>
            </w:r>
          </w:p>
        </w:tc>
        <w:tc>
          <w:tcPr>
            <w:tcW w:type="dxa" w:w="1728"/>
          </w:tcPr>
          <w:p>
            <w:r/>
            <w:r>
              <w:t>6 000</w:t>
            </w:r>
          </w:p>
        </w:tc>
      </w:tr>
      <w:tr>
        <w:tc>
          <w:tcPr>
            <w:tcW w:type="dxa" w:w="1728"/>
          </w:tcPr>
          <w:p>
            <w:r/>
            <w:r>
              <w:t>2</w:t>
            </w:r>
          </w:p>
        </w:tc>
        <w:tc>
          <w:tcPr>
            <w:tcW w:type="dxa" w:w="1728"/>
          </w:tcPr>
          <w:p>
            <w:r/>
            <w:r>
              <w:t>Дизайн-система та шаблони</w:t>
            </w:r>
          </w:p>
        </w:tc>
        <w:tc>
          <w:tcPr>
            <w:tcW w:type="dxa" w:w="1728"/>
          </w:tcPr>
          <w:p>
            <w:r/>
            <w:r>
              <w:t>глобальні стилі бренду, шапка, підвал, головна, шаблон категорії, шаблон картки, шаблон статті, інфосторінки, мобільна адаптація</w:t>
            </w:r>
          </w:p>
        </w:tc>
        <w:tc>
          <w:tcPr>
            <w:tcW w:type="dxa" w:w="1728"/>
          </w:tcPr>
          <w:p>
            <w:r/>
            <w:r>
              <w:t>9</w:t>
            </w:r>
          </w:p>
        </w:tc>
        <w:tc>
          <w:tcPr>
            <w:tcW w:type="dxa" w:w="1728"/>
          </w:tcPr>
          <w:p>
            <w:r/>
            <w:r>
              <w:t>22 000</w:t>
            </w:r>
          </w:p>
        </w:tc>
      </w:tr>
      <w:tr>
        <w:tc>
          <w:tcPr>
            <w:tcW w:type="dxa" w:w="1728"/>
          </w:tcPr>
          <w:p>
            <w:r/>
            <w:r>
              <w:t>3</w:t>
            </w:r>
          </w:p>
        </w:tc>
        <w:tc>
          <w:tcPr>
            <w:tcW w:type="dxa" w:w="1728"/>
          </w:tcPr>
          <w:p>
            <w:r/>
            <w:r>
              <w:t>Каталог, атрибути, варіації, фільтри</w:t>
            </w:r>
          </w:p>
        </w:tc>
        <w:tc>
          <w:tcPr>
            <w:tcW w:type="dxa" w:w="1728"/>
          </w:tcPr>
          <w:p>
            <w:r/>
            <w:r>
              <w:t>6 категорій, 6 фільтрів, 11 атрибутів, посадкові за розміром і типом конструкції, логіка variable product</w:t>
            </w:r>
          </w:p>
        </w:tc>
        <w:tc>
          <w:tcPr>
            <w:tcW w:type="dxa" w:w="1728"/>
          </w:tcPr>
          <w:p>
            <w:r/>
            <w:r>
              <w:t>5</w:t>
            </w:r>
          </w:p>
        </w:tc>
        <w:tc>
          <w:tcPr>
            <w:tcW w:type="dxa" w:w="1728"/>
          </w:tcPr>
          <w:p>
            <w:r/>
            <w:r>
              <w:t>12 000</w:t>
            </w:r>
          </w:p>
        </w:tc>
      </w:tr>
      <w:tr>
        <w:tc>
          <w:tcPr>
            <w:tcW w:type="dxa" w:w="1728"/>
          </w:tcPr>
          <w:p>
            <w:r/>
            <w:r>
              <w:t>4</w:t>
            </w:r>
          </w:p>
        </w:tc>
        <w:tc>
          <w:tcPr>
            <w:tcW w:type="dxa" w:w="1728"/>
          </w:tcPr>
          <w:p>
            <w:r/>
            <w:r>
              <w:t>Картки товарів і контент</w:t>
            </w:r>
          </w:p>
        </w:tc>
        <w:tc>
          <w:tcPr>
            <w:tcW w:type="dxa" w:w="1728"/>
          </w:tcPr>
          <w:p>
            <w:r/>
            <w:r>
              <w:t>5 еталонних карток, перенесення інфосторінок і 8 сторінок технологій, інструкція адміністратора</w:t>
            </w:r>
          </w:p>
        </w:tc>
        <w:tc>
          <w:tcPr>
            <w:tcW w:type="dxa" w:w="1728"/>
          </w:tcPr>
          <w:p>
            <w:r/>
            <w:r>
              <w:t>6</w:t>
            </w:r>
          </w:p>
        </w:tc>
        <w:tc>
          <w:tcPr>
            <w:tcW w:type="dxa" w:w="1728"/>
          </w:tcPr>
          <w:p>
            <w:r/>
            <w:r>
              <w:t>14 000</w:t>
            </w:r>
          </w:p>
        </w:tc>
      </w:tr>
      <w:tr>
        <w:tc>
          <w:tcPr>
            <w:tcW w:type="dxa" w:w="1728"/>
          </w:tcPr>
          <w:p>
            <w:r/>
            <w:r>
              <w:t>5</w:t>
            </w:r>
          </w:p>
        </w:tc>
        <w:tc>
          <w:tcPr>
            <w:tcW w:type="dxa" w:w="1728"/>
          </w:tcPr>
          <w:p>
            <w:r/>
            <w:r>
              <w:t>Замовлення, кошик, оплата, сповіщення</w:t>
            </w:r>
          </w:p>
        </w:tc>
        <w:tc>
          <w:tcPr>
            <w:tcW w:type="dxa" w:w="1728"/>
          </w:tcPr>
          <w:p>
            <w:r/>
            <w:r>
              <w:t>checkout, одна платіжна система (LiqPay або Mono), Нова пошта, email і Telegram-сповіщення, статуси замовлень</w:t>
            </w:r>
          </w:p>
        </w:tc>
        <w:tc>
          <w:tcPr>
            <w:tcW w:type="dxa" w:w="1728"/>
          </w:tcPr>
          <w:p>
            <w:r/>
            <w:r>
              <w:t>6</w:t>
            </w:r>
          </w:p>
        </w:tc>
        <w:tc>
          <w:tcPr>
            <w:tcW w:type="dxa" w:w="1728"/>
          </w:tcPr>
          <w:p>
            <w:r/>
            <w:r>
              <w:t>14 000</w:t>
            </w:r>
          </w:p>
        </w:tc>
      </w:tr>
      <w:tr>
        <w:tc>
          <w:tcPr>
            <w:tcW w:type="dxa" w:w="1728"/>
          </w:tcPr>
          <w:p>
            <w:r/>
            <w:r>
              <w:t>6</w:t>
            </w:r>
          </w:p>
        </w:tc>
        <w:tc>
          <w:tcPr>
            <w:tcW w:type="dxa" w:w="1728"/>
          </w:tcPr>
          <w:p>
            <w:r/>
            <w:r>
              <w:t>SEO-міграція</w:t>
            </w:r>
          </w:p>
        </w:tc>
        <w:tc>
          <w:tcPr>
            <w:tcW w:type="dxa" w:w="1728"/>
          </w:tcPr>
          <w:p>
            <w:r/>
            <w:r>
              <w:t>301 за таблицею Етапу 0, 410 за шаблонами ін'єкції, sitemap, robots, canonical, schema.org, Removals у GSC</w:t>
            </w:r>
          </w:p>
        </w:tc>
        <w:tc>
          <w:tcPr>
            <w:tcW w:type="dxa" w:w="1728"/>
          </w:tcPr>
          <w:p>
            <w:r/>
            <w:r>
              <w:t>4</w:t>
            </w:r>
          </w:p>
        </w:tc>
        <w:tc>
          <w:tcPr>
            <w:tcW w:type="dxa" w:w="1728"/>
          </w:tcPr>
          <w:p>
            <w:r/>
            <w:r>
              <w:t>9 000</w:t>
            </w:r>
          </w:p>
        </w:tc>
      </w:tr>
      <w:tr>
        <w:tc>
          <w:tcPr>
            <w:tcW w:type="dxa" w:w="1728"/>
          </w:tcPr>
          <w:p>
            <w:r/>
            <w:r>
              <w:t>7</w:t>
            </w:r>
          </w:p>
        </w:tc>
        <w:tc>
          <w:tcPr>
            <w:tcW w:type="dxa" w:w="1728"/>
          </w:tcPr>
          <w:p>
            <w:r/>
            <w:r>
              <w:t>Аналітика</w:t>
            </w:r>
          </w:p>
        </w:tc>
        <w:tc>
          <w:tcPr>
            <w:tcW w:type="dxa" w:w="1728"/>
          </w:tcPr>
          <w:p>
            <w:r/>
            <w:r>
              <w:t>GTM, GA4 з e-commerce подіями, Meta Pixel, consent mode, перевірка в DebugView</w:t>
            </w:r>
          </w:p>
        </w:tc>
        <w:tc>
          <w:tcPr>
            <w:tcW w:type="dxa" w:w="1728"/>
          </w:tcPr>
          <w:p>
            <w:r/>
            <w:r>
              <w:t>3</w:t>
            </w:r>
          </w:p>
        </w:tc>
        <w:tc>
          <w:tcPr>
            <w:tcW w:type="dxa" w:w="1728"/>
          </w:tcPr>
          <w:p>
            <w:r/>
            <w:r>
              <w:t>7 000</w:t>
            </w:r>
          </w:p>
        </w:tc>
      </w:tr>
      <w:tr>
        <w:tc>
          <w:tcPr>
            <w:tcW w:type="dxa" w:w="1728"/>
          </w:tcPr>
          <w:p>
            <w:r/>
            <w:r>
              <w:t>8</w:t>
            </w:r>
          </w:p>
        </w:tc>
        <w:tc>
          <w:tcPr>
            <w:tcW w:type="dxa" w:w="1728"/>
          </w:tcPr>
          <w:p>
            <w:r/>
            <w:r>
              <w:t>Тестування</w:t>
            </w:r>
          </w:p>
        </w:tc>
        <w:tc>
          <w:tcPr>
            <w:tcW w:type="dxa" w:w="1728"/>
          </w:tcPr>
          <w:p>
            <w:r/>
            <w:r>
              <w:t>мобільна перевірка, швидкість, Core Web Vitals, форми, кошик, редиректи, чек-лист</w:t>
            </w:r>
          </w:p>
        </w:tc>
        <w:tc>
          <w:tcPr>
            <w:tcW w:type="dxa" w:w="1728"/>
          </w:tcPr>
          <w:p>
            <w:r/>
            <w:r>
              <w:t>3</w:t>
            </w:r>
          </w:p>
        </w:tc>
        <w:tc>
          <w:tcPr>
            <w:tcW w:type="dxa" w:w="1728"/>
          </w:tcPr>
          <w:p>
            <w:r/>
            <w:r>
              <w:t>5 000</w:t>
            </w:r>
          </w:p>
        </w:tc>
      </w:tr>
      <w:tr>
        <w:tc>
          <w:tcPr>
            <w:tcW w:type="dxa" w:w="1728"/>
          </w:tcPr>
          <w:p>
            <w:r/>
            <w:r>
              <w:t>9</w:t>
            </w:r>
          </w:p>
        </w:tc>
        <w:tc>
          <w:tcPr>
            <w:tcW w:type="dxa" w:w="1728"/>
          </w:tcPr>
          <w:p>
            <w:r/>
            <w:r>
              <w:t>Запуск і супровід</w:t>
            </w:r>
          </w:p>
        </w:tc>
        <w:tc>
          <w:tcPr>
            <w:tcW w:type="dxa" w:w="1728"/>
          </w:tcPr>
          <w:p>
            <w:r/>
            <w:r>
              <w:t>перенесення на бойовий домен, контроль індексації, моніторинг 14 днів</w:t>
            </w:r>
          </w:p>
        </w:tc>
        <w:tc>
          <w:tcPr>
            <w:tcW w:type="dxa" w:w="1728"/>
          </w:tcPr>
          <w:p>
            <w:r/>
            <w:r>
              <w:t>3</w:t>
            </w:r>
          </w:p>
        </w:tc>
        <w:tc>
          <w:tcPr>
            <w:tcW w:type="dxa" w:w="1728"/>
          </w:tcPr>
          <w:p>
            <w:r/>
            <w:r>
              <w:t>6 000</w:t>
            </w:r>
          </w:p>
        </w:tc>
      </w:tr>
      <w:tr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  <w:r>
              <w:rPr>
                <w:b/>
              </w:rPr>
              <w:t>Разом базовий обсяг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  <w:r>
              <w:rPr>
                <w:b/>
              </w:rPr>
              <w:t>42</w:t>
            </w:r>
          </w:p>
        </w:tc>
        <w:tc>
          <w:tcPr>
            <w:tcW w:type="dxa" w:w="1728"/>
          </w:tcPr>
          <w:p>
            <w:r/>
            <w:r>
              <w:rPr>
                <w:b/>
              </w:rPr>
              <w:t>95 000</w:t>
            </w:r>
          </w:p>
        </w:tc>
      </w:tr>
    </w:tbl>
    <w:p/>
    <w:p>
      <w:pPr>
        <w:pStyle w:val="Heading2"/>
      </w:pPr>
      <w:r>
        <w:rPr>
          <w:color w:val="1F3864"/>
        </w:rPr>
        <w:t>Окремі блоки, рахуються поверх базового обсягу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Блок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Що входить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Строк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Ціна, грн</w:t>
            </w:r>
          </w:p>
        </w:tc>
      </w:tr>
      <w:tr>
        <w:tc>
          <w:tcPr>
            <w:tcW w:type="dxa" w:w="2160"/>
          </w:tcPr>
          <w:p>
            <w:r/>
            <w:r>
              <w:t>Checkbox ПРРО</w:t>
            </w:r>
          </w:p>
        </w:tc>
        <w:tc>
          <w:tcPr>
            <w:tcW w:type="dxa" w:w="2160"/>
          </w:tcPr>
          <w:p>
            <w:r/>
            <w:r>
              <w:t>офіційний модуль, тест на пісочниці, ланцюг оплата → чек → номер у замовленні → лист клієнту</w:t>
            </w:r>
          </w:p>
        </w:tc>
        <w:tc>
          <w:tcPr>
            <w:tcW w:type="dxa" w:w="2160"/>
          </w:tcPr>
          <w:p>
            <w:r/>
            <w:r>
              <w:t>3</w:t>
            </w:r>
          </w:p>
        </w:tc>
        <w:tc>
          <w:tcPr>
            <w:tcW w:type="dxa" w:w="2160"/>
          </w:tcPr>
          <w:p>
            <w:r/>
            <w:r>
              <w:t>8 000</w:t>
            </w:r>
          </w:p>
        </w:tc>
      </w:tr>
      <w:tr>
        <w:tc>
          <w:tcPr>
            <w:tcW w:type="dxa" w:w="2160"/>
          </w:tcPr>
          <w:p>
            <w:r/>
            <w:r>
              <w:t>Мультимовність UA/RU</w:t>
            </w:r>
          </w:p>
        </w:tc>
        <w:tc>
          <w:tcPr>
            <w:tcW w:type="dxa" w:w="2160"/>
          </w:tcPr>
          <w:p>
            <w:r/>
            <w:r>
              <w:t>WPML, переклад інтерфейсу й шаблонів, hreflang, окремі URL</w:t>
            </w:r>
          </w:p>
        </w:tc>
        <w:tc>
          <w:tcPr>
            <w:tcW w:type="dxa" w:w="2160"/>
          </w:tcPr>
          <w:p>
            <w:r/>
            <w:r>
              <w:t>5</w:t>
            </w:r>
          </w:p>
        </w:tc>
        <w:tc>
          <w:tcPr>
            <w:tcW w:type="dxa" w:w="2160"/>
          </w:tcPr>
          <w:p>
            <w:r/>
            <w:r>
              <w:t>12 000</w:t>
            </w:r>
          </w:p>
        </w:tc>
      </w:tr>
      <w:tr>
        <w:tc>
          <w:tcPr>
            <w:tcW w:type="dxa" w:w="2160"/>
          </w:tcPr>
          <w:p>
            <w:r/>
            <w:r>
              <w:t>Наповнення каталогу понад 5 еталонних</w:t>
            </w:r>
          </w:p>
        </w:tc>
        <w:tc>
          <w:tcPr>
            <w:tcW w:type="dxa" w:w="2160"/>
          </w:tcPr>
          <w:p>
            <w:r/>
            <w:r>
              <w:t>картка з характеристиками, фото, SEO-полями</w:t>
            </w:r>
          </w:p>
        </w:tc>
        <w:tc>
          <w:tcPr>
            <w:tcW w:type="dxa" w:w="2160"/>
          </w:tcPr>
          <w:p>
            <w:r/>
            <w:r>
              <w:t>—</w:t>
            </w:r>
          </w:p>
        </w:tc>
        <w:tc>
          <w:tcPr>
            <w:tcW w:type="dxa" w:w="2160"/>
          </w:tcPr>
          <w:p>
            <w:r/>
            <w:r>
              <w:t>250 за картку</w:t>
            </w:r>
          </w:p>
        </w:tc>
      </w:tr>
    </w:tbl>
    <w:p/>
    <w:p>
      <w:r>
        <w:t>Наповнення рахується окремо тому, що 43 позиції мають відновлені характеристики й заповнюються копіюванням, а решта потребує матеріалів від замовниці. Якщо замовниця наповнює сама за інструкцією з Етапу 4, цей блок не потрібен.</w:t>
      </w:r>
    </w:p>
    <w:p>
      <w:pPr>
        <w:pStyle w:val="Heading2"/>
      </w:pPr>
      <w:r>
        <w:rPr>
          <w:color w:val="1F3864"/>
        </w:rPr>
        <w:t>Ліцензії (оформлюються на акаунт замовниці)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Інструмент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Вартість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Періодичність</w:t>
            </w:r>
          </w:p>
        </w:tc>
      </w:tr>
      <w:tr>
        <w:tc>
          <w:tcPr>
            <w:tcW w:type="dxa" w:w="2880"/>
          </w:tcPr>
          <w:p>
            <w:r/>
            <w:r>
              <w:t>WoodMart</w:t>
            </w:r>
          </w:p>
        </w:tc>
        <w:tc>
          <w:tcPr>
            <w:tcW w:type="dxa" w:w="2880"/>
          </w:tcPr>
          <w:p>
            <w:r/>
            <w:r>
              <w:t>$69</w:t>
            </w:r>
          </w:p>
        </w:tc>
        <w:tc>
          <w:tcPr>
            <w:tcW w:type="dxa" w:w="2880"/>
          </w:tcPr>
          <w:p>
            <w:r/>
            <w:r>
              <w:t>разово</w:t>
            </w:r>
          </w:p>
        </w:tc>
      </w:tr>
      <w:tr>
        <w:tc>
          <w:tcPr>
            <w:tcW w:type="dxa" w:w="2880"/>
          </w:tcPr>
          <w:p>
            <w:r/>
            <w:r>
              <w:t>Elementor Pro</w:t>
            </w:r>
          </w:p>
        </w:tc>
        <w:tc>
          <w:tcPr>
            <w:tcW w:type="dxa" w:w="2880"/>
          </w:tcPr>
          <w:p>
            <w:r/>
            <w:r>
              <w:t>$59</w:t>
            </w:r>
          </w:p>
        </w:tc>
        <w:tc>
          <w:tcPr>
            <w:tcW w:type="dxa" w:w="2880"/>
          </w:tcPr>
          <w:p>
            <w:r/>
            <w:r>
              <w:t>на рік</w:t>
            </w:r>
          </w:p>
        </w:tc>
      </w:tr>
      <w:tr>
        <w:tc>
          <w:tcPr>
            <w:tcW w:type="dxa" w:w="2880"/>
          </w:tcPr>
          <w:p>
            <w:r/>
            <w:r>
              <w:t>WPML</w:t>
            </w:r>
          </w:p>
        </w:tc>
        <w:tc>
          <w:tcPr>
            <w:tcW w:type="dxa" w:w="2880"/>
          </w:tcPr>
          <w:p>
            <w:r/>
            <w:r>
              <w:t>$99</w:t>
            </w:r>
          </w:p>
        </w:tc>
        <w:tc>
          <w:tcPr>
            <w:tcW w:type="dxa" w:w="2880"/>
          </w:tcPr>
          <w:p>
            <w:r/>
            <w:r>
              <w:t>на рік, лише якщо беремо мультимовність</w:t>
            </w:r>
          </w:p>
        </w:tc>
      </w:tr>
      <w:tr>
        <w:tc>
          <w:tcPr>
            <w:tcW w:type="dxa" w:w="2880"/>
          </w:tcPr>
          <w:p>
            <w:r/>
            <w:r>
              <w:t>RankMath, Redirection, GTM4WP</w:t>
            </w:r>
          </w:p>
        </w:tc>
        <w:tc>
          <w:tcPr>
            <w:tcW w:type="dxa" w:w="2880"/>
          </w:tcPr>
          <w:p>
            <w:r/>
            <w:r>
              <w:t>безкоштовно</w:t>
            </w:r>
          </w:p>
        </w:tc>
        <w:tc>
          <w:tcPr>
            <w:tcW w:type="dxa" w:w="2880"/>
          </w:tcPr>
          <w:p>
            <w:r/>
            <w:r>
              <w:t>—</w:t>
            </w:r>
          </w:p>
        </w:tc>
      </w:tr>
    </w:tbl>
    <w:p/>
    <w:p>
      <w:r>
        <w:t>Нові платні плагіни — тільки після окремого погодження.</w:t>
      </w:r>
    </w:p>
    <w:p>
      <w:pPr>
        <w:pStyle w:val="Heading2"/>
      </w:pPr>
      <w:r>
        <w:rPr>
          <w:color w:val="1F3864"/>
        </w:rPr>
        <w:t>Що не входить у жодну оцінку</w:t>
      </w:r>
    </w:p>
    <w:p>
      <w:r>
        <w:t>Розробка брендингу з нуля у Figma, CRM і складські системи, інтеграції з 1С/ERP, рекламні кампанії, SEO-просування після запуску, масова підготовка текстів і фото для сотень товарів.</w:t>
      </w:r>
    </w:p>
    <w:p>
      <w:pPr>
        <w:pStyle w:val="Heading2"/>
      </w:pPr>
      <w:r>
        <w:rPr>
          <w:color w:val="1F3864"/>
        </w:rPr>
        <w:t>Порядок, який я рекомендую</w:t>
      </w:r>
    </w:p>
    <w:p>
      <w:r>
        <w:t>Етапи 1–4 підряд: без каталогу немає що редиректити, тому SEO-міграція (6) йде після наповнення. Етапи 5 і 7 можна вести паралельно з 4, якщо реквізити й доступи будуть готові. Checkbox підключаємо тільки після того, як checkout працює на тесті.</w:t>
      </w:r>
    </w:p>
    <w:p>
      <w:r>
        <w:rPr>
          <w:b/>
        </w:rPr>
        <w:t>Що потрібно від замовниці на вході наступного етапу:</w:t>
      </w:r>
      <w:r>
        <w:t xml:space="preserve"> доступ до хостингу або рішення про новий, доступ до адмінки старого сайту (для точних характеристик і категорій), матеріали по 8 актуальних моделях без архівних даних.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